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6F9C" w14:textId="77777777" w:rsidR="00100033" w:rsidRP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PŘÍKAZNÍ SMLOUVA</w:t>
      </w:r>
    </w:p>
    <w:p w14:paraId="06B89B9A" w14:textId="579C8267" w:rsid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uzavřená dle 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89/2012 Sb., občanský zákoník v platném znění</w:t>
      </w:r>
      <w:r w:rsid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§ 2430</w:t>
      </w:r>
    </w:p>
    <w:p w14:paraId="2A4384AF" w14:textId="77777777" w:rsidR="00FB7331" w:rsidRDefault="00FB7331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361405" w14:textId="77777777" w:rsid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mezi:</w:t>
      </w:r>
      <w:proofErr w:type="gramEnd"/>
    </w:p>
    <w:p w14:paraId="663EB185" w14:textId="77777777"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AF9B68" w14:textId="78362134" w:rsidR="001C401D" w:rsidRDefault="00100033" w:rsidP="001C401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Obec: Město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Sídlo: Havlíčkovo náměstí 552/1, 284 01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00236195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Zastoupená: Mgr.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Lukáš Seifert, starosta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„Příkazce“)</w:t>
      </w:r>
    </w:p>
    <w:p w14:paraId="2D5C032A" w14:textId="77777777" w:rsidR="001C401D" w:rsidRPr="001C401D" w:rsidRDefault="001C401D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zástupce ve věcech     </w:t>
      </w:r>
    </w:p>
    <w:p w14:paraId="050FD818" w14:textId="7A3A1FA5" w:rsidR="001C401D" w:rsidRPr="001C401D" w:rsidRDefault="001C401D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technických: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3C4E46"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eastAsia="cs-CZ"/>
          <w14:ligatures w14:val="none"/>
        </w:rPr>
        <w:t>Ing. Jozef Králik, vedoucí odboru investic</w:t>
      </w:r>
    </w:p>
    <w:p w14:paraId="47A0A752" w14:textId="11C31362" w:rsid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780C3217" w14:textId="77777777"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3FC509" w14:textId="30678E8D" w:rsid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Příkazník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Jméno/Název: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např. Ing. Jan Novák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Technický dozor XYZ s.r.o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Sídlo/bydliště: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adresa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Zapsaný v: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např. živnostenský rejstřík / obchodní rejstřík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Zastoupený: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doplnit, je-li právnická osoba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„Příkazník“)</w:t>
      </w:r>
    </w:p>
    <w:p w14:paraId="39A8195F" w14:textId="77777777" w:rsidR="00100033" w:rsidRP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6058E3" w14:textId="31896452" w:rsidR="00100033" w:rsidRPr="00100033" w:rsidRDefault="00100033" w:rsidP="001C40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 – Předmět smlouvy</w:t>
      </w:r>
    </w:p>
    <w:p w14:paraId="233EF254" w14:textId="41093460" w:rsidR="00100033" w:rsidRDefault="00100033" w:rsidP="008E59B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Příkazce pověřuje Příkazníka výkonem činností externího správce stavby při realizaci veřejné zakázky 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</w:t>
      </w:r>
      <w:r w:rsidR="00C901EE" w:rsidRPr="00C90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Vrchlice v Kutné Hoře – revitalizace a protipovodňová opatření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území města Kutná Hora.</w:t>
      </w:r>
    </w:p>
    <w:p w14:paraId="3BC1CA41" w14:textId="63EA7898" w:rsidR="00C74942" w:rsidRPr="000435FC" w:rsidRDefault="00C74942" w:rsidP="008E59B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bude zastávat funkci 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technick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ého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stavebníka ve smyslu stavebního zákona 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koordinátor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bezpečnosti a ochrany zdraví při práci na staveništi.</w:t>
      </w:r>
    </w:p>
    <w:p w14:paraId="530782D3" w14:textId="77777777" w:rsidR="00120198" w:rsidRPr="00754473" w:rsidRDefault="00120198" w:rsidP="008E59B9">
      <w:pPr>
        <w:numPr>
          <w:ilvl w:val="0"/>
          <w:numId w:val="20"/>
        </w:numPr>
        <w:tabs>
          <w:tab w:val="clear" w:pos="720"/>
        </w:tabs>
        <w:spacing w:after="0" w:line="0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344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se zavazuje řádně vykonávat tyto činnosti správce stavby:</w:t>
      </w:r>
    </w:p>
    <w:p w14:paraId="546562B2" w14:textId="403226E6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Dodavatel vypracuje </w:t>
      </w:r>
      <w:r w:rsidR="00AB13B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v rámci případných víceprací čí </w:t>
      </w:r>
      <w:proofErr w:type="spellStart"/>
      <w:r w:rsidR="00AB13B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méněprací</w:t>
      </w:r>
      <w:proofErr w:type="spellEnd"/>
      <w:r w:rsidR="00AB13B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odborné posouzení Reálné odbytové ceny za účelem eliminace nabídek obsahující MNNC ve smyslu Zákona 134/2016 Sb.</w:t>
      </w:r>
    </w:p>
    <w:p w14:paraId="116225E4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Seznámit se důkladně s nabídkou budoucího zhotovitele a všemi souvisejícími podklady, dokumenty, relevantními pro realizaci stavby, podmínkami územních rozhodnutí a územních souhlasů, stavebních a dalších navazujících povolení, veřejnoprávních smluv, Předpisy a Podmínkami v aktuálním znění.</w:t>
      </w:r>
    </w:p>
    <w:p w14:paraId="7D54609C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>Organizovat jednání zadavatele a budoucího zhotovitele, která mají za cíl získat potřebná povolení a souhlasy před zahájením stavebních prací, pokud budou třeba.</w:t>
      </w:r>
    </w:p>
    <w:p w14:paraId="290B3723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Organizace předání a převzetí staveniště</w:t>
      </w:r>
    </w:p>
    <w:p w14:paraId="2E4EF3EF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Ve spolupráci se vybraným zhotovitelem zajistit písemně informování dotčených orgánů statní správy, ostatních dotčených organizací, event. jiných dotčených subjektů o zahájení realizace stavby, o časovém harmonogramu stavby, konání kontrolních dnů předmětu smlouvy o dílo vč. kontaktů na jednotlivé kompetentní osoby spolupodílející se na realizaci stavby.</w:t>
      </w:r>
    </w:p>
    <w:p w14:paraId="25F0F6D6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Kontrola, zda jsou vydána stavební povolení, veřejnoprávní smlouvy nebo souhlas s provedením ohlášeného stavebního záměru (případně vodoprávní rozhodnutí) na celý předmět díla včetně uzavřených smluv.</w:t>
      </w:r>
    </w:p>
    <w:p w14:paraId="283A2F82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Schvalovat ty z dokumentů, u nichž je to stanoveno podmínkami smlouvy o dílo.</w:t>
      </w:r>
    </w:p>
    <w:p w14:paraId="5B3D57CE" w14:textId="0924243E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Poskytovat na vyžádání zadavatele součinnost zhotoviteli při získávání potřebných povolení a souhlasů a zajišťovat, aby povolení a souhlasy splňovaly požadavky všech předpisů, jejichž aplikace se vztahuje k realizaci stavby.</w:t>
      </w:r>
    </w:p>
    <w:p w14:paraId="5B5E61E9" w14:textId="04433DDB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Protokolárně předávat staveniště a jejich části budoucímu zhotoviteli a pořizovat při tom fotodokumentaci jejich stavu včetně přilehlého okolí.</w:t>
      </w:r>
    </w:p>
    <w:p w14:paraId="7322AE18" w14:textId="17842AC7" w:rsidR="008F475E" w:rsidRPr="008F475E" w:rsidRDefault="00DB7F1E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993"/>
        </w:tabs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Sledovat dodržování vydaných stavebních povolení, územních rozhodnutí a územních souhlasů, veřejnoprávních smluv a dalších závěrů správních řízení vč. závěrů z provedených kontrol, dodržování příslušných technických norem, smluv, časového harmonogramu, případně dalších požadavků příkazce předaných v písemné podobě a požadavků právních předpisů a aktivně se účastnit příslušných řízení a jednání; kontrola zhotovitele stavby a ostatních účastníků stavby, zda dodržují podmínky stavebního povolení, veřejnoprávních smluv nebo souhlasu s provedením ohlášeného stavebního záměru, právní předpisy, technické normy, a to po celou dobu realizace stavby.</w:t>
      </w:r>
    </w:p>
    <w:p w14:paraId="17ACC0AA" w14:textId="5D22F3C8" w:rsidR="008F475E" w:rsidRPr="00DB7F1E" w:rsidRDefault="008F475E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993"/>
        </w:tabs>
        <w:ind w:left="993" w:hanging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Řízení postupu výstavy pomoci stavebního softwaru (např. </w:t>
      </w:r>
      <w:proofErr w:type="spellStart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Contec</w:t>
      </w:r>
      <w:proofErr w:type="spellEnd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MS Project, </w:t>
      </w:r>
      <w:proofErr w:type="spellStart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Primavera</w:t>
      </w:r>
      <w:proofErr w:type="spellEnd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)</w:t>
      </w:r>
    </w:p>
    <w:p w14:paraId="5E008FEE" w14:textId="4A9B302E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a účast na veškerých jednáních s orgány činnými ve správním řízení a dotčenými orgány.</w:t>
      </w:r>
    </w:p>
    <w:p w14:paraId="569E8C81" w14:textId="48EF53A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Přejímka dodávek vybraných prací a materiálů</w:t>
      </w:r>
    </w:p>
    <w:p w14:paraId="1B81120C" w14:textId="4A00302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a prověřovat, zda zkoušky na staveništi (zejména zkoušky jakosti materiálů, individuálních vyzkoušení, komplexního vyzkoušení, v průběhu zkušebního provozu a garančních zkoušek) jsou prováděny v souladu s příslušnými předpisy, doporučenými standardy (normami) a ustanoveními smlouvy o dílo; zajistit, aby zhotovitel vždy provedl o provedení zkoušky zápis či protokol. V případě nevyhovujícího výsledku zkoušky zajistit ze strany budoucího zhotovitele sjednání nápravy (odstranění příčin) a provedení nových zkoušek.</w:t>
      </w:r>
    </w:p>
    <w:p w14:paraId="419E2064" w14:textId="1FC129BE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řádného uskladnění materiálů na staveništi</w:t>
      </w:r>
    </w:p>
    <w:p w14:paraId="6A4D617C" w14:textId="614E814B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přejímání části prací, které budou v dalším postupu zakryté nebo se stanou nepřístupnými</w:t>
      </w:r>
    </w:p>
    <w:p w14:paraId="35A1C4FD" w14:textId="4368658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Spolupracovat s projektantem - zhotovitelem „dokumentace pro provedení stavby" a vyžadovat jeho účast na staveništích k plnění úkolů autorského dozoru nezbytného pro jednotlivé části stavby – požadavek na výkon autorského dozoru bude SS vznášet vždy prostřednictvím zadavatele; spolupráce s projektantem a zhotovitelem stavby při vykonávání nebo navrhování opatření na odstranění případných vad projektu.</w:t>
      </w:r>
    </w:p>
    <w:p w14:paraId="1A0EE9D1" w14:textId="6FBE970F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Provádět odborný dohled nad průběhem provádění díla v souladu se smlouvou o dílo, zejména z hlediska dodržení sjednaného rozsahu díla a způsobu jeho provádění (kvalita materiálu a prováděných prací, použitých výrobků a materiálu, technické parametry apod.); kontrola všech částí stavby, které budou dalším postupem výstavby zakryty nebo se stanou nepřístupnými se zápisem o těchto kontrolách do stavebního deníku; sledování, jestli zhotovitel stavby provádí předepsané a dohodnuté zkoušky materiálů, konstrukcí, výrobků a prací, kontrolování jejich výsledků, kontrolování dodržování předepsaných technologických lhůt, požadování dokladů, které prokazují kvalitu vykonávaných prací a dodávek.</w:t>
      </w:r>
    </w:p>
    <w:p w14:paraId="492CAA7A" w14:textId="28D7D1E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a odsouhlasovat adekvátnost a autentičnost všech potvrzení, pojištění, slib odškodnění apod., za které je zhotovitel odpovědný podle podmínek smlouvy o dílo.</w:t>
      </w:r>
    </w:p>
    <w:p w14:paraId="5194E2F6" w14:textId="77C6326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Iniciovat, organizovat a řídit pravidelné kontrolní dny (dále jen </w:t>
      </w:r>
      <w:r w:rsidR="0068084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„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KD") na staveništi v intervalech dle smlouvy o dílo (ev. podle potřeby nepravidelné kontrolní dny)1x za 7 dní, porady na staveništi, vyhotovovat potřebné zápisy, zajišťovat v rámci pravidelných kontrolních dnů přípravu pro prezentaci postupu stavby, která bude prováděna na kontrolních dnech svolávaných jednou za měsíc nebo podle potřeby s přizváním kontrolních orgánů, jejichž označení oznámí příkazci a umožnit zástupcům kontrolních orgánů věcnou, finanční a účetní kontrolu.</w:t>
      </w:r>
    </w:p>
    <w:p w14:paraId="57D3CCA2" w14:textId="3DCC0CA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Technická pomoc při nově vzniklých situacích na stavbě.</w:t>
      </w:r>
    </w:p>
    <w:p w14:paraId="735E57D0" w14:textId="753B4413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Pokud nebude později stanoveno pokynem zadavatele jinak, požaduje zadavatel, aby se konaly pravidelné porady na staveništi vždy jednou týdně za účasti zhotovitele, zadavatele a SS, mimo tyto termíny budou organizovány kontrolní dny jednou za měsíc a prezentační KD jednou za 6 měsíců, z KD a pravidelných porad bude SS zpracovávat zápisy a bude je elektronickou cestou rozesílat účastníkům.</w:t>
      </w:r>
    </w:p>
    <w:p w14:paraId="055BB529" w14:textId="69F08C6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Zjišťovat a potvrzovat množství provedených stavebních prací a jejich hodnotu v souladu se smlouvou o dílo a potvrzovat daňové doklady, kontrolovat měsíční zprávy předkládané zhotovitelem dle smlouvy o dílo; kontrola úplnosti faktur, kontrola souladu faktur a zjišťovacích protokolů s podmínkami uvedenými ve smlouvách (zejména s rozpočtem) a se skutečně provedenými pracemi.</w:t>
      </w:r>
    </w:p>
    <w:p w14:paraId="2A419D45" w14:textId="30B2E2F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Doporučovat změny v projektových dokumentacích a technických specifikacích, které se mohou projevit jako nezbytné nebo vhodné v průběhu realizace stavby, zejména doporučovat zadavateli možnosti snížení nákladů spojených s realizací stavby a žádat od zhotovitele přijmutí opatření pro zkvalitnění stavebních prací, doporučovat zadavateli opatření ke snížení rizik při realizaci stavby.</w:t>
      </w:r>
    </w:p>
    <w:p w14:paraId="323B1C76" w14:textId="55A1A83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Předkládání případných návrhů na aktualizaci smluvních vztahů s dodavatelem stavebních prací</w:t>
      </w:r>
    </w:p>
    <w:p w14:paraId="20BF9DC8" w14:textId="6707AA62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Projednávat se zhotovitelem a dávat písemná doporučení zadavateli stran sazeb a cen týkajících se neplánovaných prací a položek, a to vynucených nebo vyžádaných; evidence a kontrola víceprací a </w:t>
      </w:r>
      <w:proofErr w:type="spellStart"/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méněprací</w:t>
      </w:r>
      <w:proofErr w:type="spellEnd"/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- evidence, odsouhlasení předem včetně zajištění podkladů a finanční náročnosti – průběžně, spolupráce při zpracování změnových listů.</w:t>
      </w:r>
    </w:p>
    <w:p w14:paraId="7214BCFF" w14:textId="4D54429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a odsouhlasovat dokumentaci skutečného provedení díla, provozní příručky a další požadovanou dokumentaci a předávat příkazci všechny zprávy, zápisy, potvrzení apod. vypracované zhotovitelem, nebudou-li předány zhotovitelem samostatně.</w:t>
      </w:r>
    </w:p>
    <w:p w14:paraId="20A37D72" w14:textId="54AF080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stavební deníky (který musí vést zhotovitel během celého období výstavby v souladu s požadavky českého právního řádu) zapisovat do stavebního deníku příslušné informace a údaje a odsouhlasovat svým podpisem (parafou) ostatní zápisy do tohoto deníku.</w:t>
      </w:r>
    </w:p>
    <w:p w14:paraId="3B104D2A" w14:textId="1EA30CC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Podporovat koordinaci činnosti mezi zadavatelem a zhotovitelem.</w:t>
      </w:r>
    </w:p>
    <w:p w14:paraId="7B6D1A6C" w14:textId="79745414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Poskytovat zadavateli poradenství v případě uplatňování jakýchkoliv možných nároků zadavatelem ve vztahu ke zhotoviteli nebo zhotovitelem ve vztahu k příkazci s cílem předcházet vzniku sporů.</w:t>
      </w:r>
    </w:p>
    <w:p w14:paraId="239B9D18" w14:textId="136FA137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Neprodleně podávat zadavateli zprávy o všech významných skutečnostech a událostech z hlediska realizace stavby.</w:t>
      </w:r>
    </w:p>
    <w:p w14:paraId="23E65EF0" w14:textId="621C677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Příprava podkladů pro odevzdání a převzetí stavby nebo její části a organizační zajištění jednání o odevzdání a převzetí stavby, účast při předávání jednotlivých dohodnutých dokončených částí vrstev díla.</w:t>
      </w:r>
    </w:p>
    <w:p w14:paraId="57D4E006" w14:textId="4310F54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Zastupování zadavatele v rozsahu zmocnění ve správních a jiných řízeních a součinnost při závěrečné prohlídce stavby stavebním úřadem.</w:t>
      </w:r>
    </w:p>
    <w:p w14:paraId="1CA320EC" w14:textId="30F84272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odstraňování vad a nedodělků zjištěných při přebírání stavby v dohodnutých termínech.</w:t>
      </w:r>
    </w:p>
    <w:p w14:paraId="3932AFF0" w14:textId="6F1B9F9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podkladů pro vydání kolaudačního souhlasu nebo pro oznámení záměru započít s užíváním stavby stavebnímu úřadu.</w:t>
      </w:r>
    </w:p>
    <w:p w14:paraId="6894587C" w14:textId="2EE99D0F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Řádné pořizování záznamů ze všech jednání, které vzešly v rámci realizace stavby v jednotné formě umožňující jejich vyhodnocení a další zpracování.</w:t>
      </w:r>
    </w:p>
    <w:p w14:paraId="1E138622" w14:textId="47D98DB3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dodržení Stavebních a vodohospodářských norem</w:t>
      </w:r>
    </w:p>
    <w:p w14:paraId="6E0D8E35" w14:textId="45B7727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dodržení technických norem pro vozovky</w:t>
      </w:r>
    </w:p>
    <w:p w14:paraId="19156883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993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Odpovědnost za správné provedení podkladních vrstev, obrubníků, odvodnění a povrchu vozovky.</w:t>
      </w:r>
    </w:p>
    <w:p w14:paraId="65573ABC" w14:textId="3907403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Dohlížení na soulad s legislativními předpisy a vyhláškami specifických norem a požadavků dotačních programů</w:t>
      </w:r>
    </w:p>
    <w:p w14:paraId="5E7533A2" w14:textId="6AD1612B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dodržování zásad ochrany životního prostředí</w:t>
      </w:r>
    </w:p>
    <w:p w14:paraId="514AB8EC" w14:textId="438F905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Environmentální aspekty</w:t>
      </w:r>
    </w:p>
    <w:p w14:paraId="3AA5253A" w14:textId="612049D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Koordinace s ostatními investicemi, jednání s vlastníky stavbou dotčených nemovitostí</w:t>
      </w:r>
    </w:p>
    <w:p w14:paraId="6C9206B2" w14:textId="28B42FB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se zhotovitelem při upřesnění podmínek správců inženýrských sítí pro vyvolané přeložky inženýrských sítí</w:t>
      </w:r>
    </w:p>
    <w:p w14:paraId="3917D8B2" w14:textId="7BFCE0F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 administrátorem dotace</w:t>
      </w:r>
    </w:p>
    <w:p w14:paraId="62E0EC38" w14:textId="5FB8F5C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podkladů od zhotovitele a jejich předání administrátorovi pro zpracování Zpráv o realizaci v systému ISKP21+</w:t>
      </w:r>
    </w:p>
    <w:p w14:paraId="69D30C17" w14:textId="448CE10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podkladů od zhotovitele pro zpracování Žádostí o proplacení dotace a jejich předání administrátorovi</w:t>
      </w:r>
    </w:p>
    <w:p w14:paraId="6083AFD6" w14:textId="210565E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Dodržování zákona o zadávání veřejných zakázek (č. 134/2016 Sb.).</w:t>
      </w:r>
    </w:p>
    <w:p w14:paraId="36FD8AA5" w14:textId="0657C88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plnění podmínek případných dotací nebo financování z veřejných rozpočtů.</w:t>
      </w:r>
    </w:p>
    <w:p w14:paraId="37BCB6FB" w14:textId="6736F6CF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zajištění dopravně-inženýrských opatření (DIO) pro bezpečnost během rekonstrukce.</w:t>
      </w:r>
    </w:p>
    <w:p w14:paraId="5DC48942" w14:textId="5D6F00E3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Koordinace objížděk a omezení dopravy v obci (souhlas obce, Policie ČR, správců komunikací).</w:t>
      </w:r>
    </w:p>
    <w:p w14:paraId="57D28D28" w14:textId="3D64818A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Dohlížení na bezpečnost práce při práci na vozovce a elektrických zařízeních.</w:t>
      </w:r>
    </w:p>
    <w:p w14:paraId="437E0BC0" w14:textId="1660CE4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se správci vodovodů, kanalizace, plynovodů, elektřiny, optických sítí.</w:t>
      </w:r>
    </w:p>
    <w:p w14:paraId="5595A4E2" w14:textId="20B9D41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Řešení případných kolizí a nutných přeložek sítí.</w:t>
      </w:r>
    </w:p>
    <w:p w14:paraId="5185D733" w14:textId="465273EB" w:rsidR="00120198" w:rsidRPr="00DB7F1E" w:rsidRDefault="00A4706C" w:rsidP="00A4706C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spacing w:after="0" w:line="0" w:lineRule="atLeast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Řešení případných kolizí a nutných úprav vjezdů přilehlých vlastníků nemovitostí</w:t>
      </w:r>
    </w:p>
    <w:p w14:paraId="169D96E6" w14:textId="77777777" w:rsidR="00120198" w:rsidRDefault="00120198" w:rsidP="003479CE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BCEECC" w14:textId="77777777" w:rsidR="00120198" w:rsidRDefault="00120198" w:rsidP="003479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21B357" w14:textId="368FCF05" w:rsidR="00120198" w:rsidRPr="004540AC" w:rsidRDefault="00120198" w:rsidP="008E59B9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40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zajišťuje tyto činnosti po dokončení stavby:</w:t>
      </w:r>
    </w:p>
    <w:p w14:paraId="3A738038" w14:textId="1F424C73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Dokumentace k dílu</w:t>
      </w:r>
    </w:p>
    <w:p w14:paraId="7C0AB078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Dokumentace skutečného provedení stavby (geodetické zaměření, případné změny oproti projektové dokumentaci)</w:t>
      </w:r>
    </w:p>
    <w:p w14:paraId="4120DA6A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Prohlášení o shodě a certifikáty použitých materiálů</w:t>
      </w:r>
    </w:p>
    <w:p w14:paraId="2467E0DD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Zkušební protokoly a laboratorní zkoušky (např. hutnění podkladních vrstev, kvalita asfaltu/betonu, pevnost obrubníků)</w:t>
      </w:r>
    </w:p>
    <w:p w14:paraId="402A3548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Protokoly o provedených kontrolách a měřeních</w:t>
      </w:r>
    </w:p>
    <w:p w14:paraId="2E4AF16F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Revizní zprávy (např. veřejné osvětlení, odvodnění, dopravní značení)</w:t>
      </w:r>
    </w:p>
    <w:p w14:paraId="0C1D06D8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Doklady o průběhu stavby (Stavební deník, Soupisy provedených prací a výkaz výměr, Záznamy o skrytých konstrukcích, Povolení k uvedení do provozu atd.</w:t>
      </w:r>
    </w:p>
    <w:p w14:paraId="509C45F0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při vyhodnocení stavby</w:t>
      </w:r>
    </w:p>
    <w:p w14:paraId="47444664" w14:textId="1633EE3E" w:rsidR="00120198" w:rsidRPr="004540AC" w:rsidRDefault="0036401E" w:rsidP="008E59B9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40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a poskytování odborné pomoci při vyřizování reklamací díla a uplatňování práv z vadného plnění díla v záruční době stavby včetně vad zjištěných při převzetí díla příkazcem.</w:t>
      </w:r>
    </w:p>
    <w:p w14:paraId="214D37E2" w14:textId="77777777" w:rsidR="00120198" w:rsidRDefault="00120198" w:rsidP="008E59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658C81" w14:textId="2C81A9D0" w:rsidR="00120198" w:rsidRDefault="00120198" w:rsidP="008E59B9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zajistí činnosti koordinátora BOZP dle Zákona č. 309/2006 Sb., kterým se upravují další požadavky bezpečnosti a ochrany zdraví při práci v pracovněprávních vztazích a o zajištění BOZP při činnosti nebo poskytování služeb mimo pracovněprávní vztahy zejména § 14 až § 18 – ty upravují povinnosti zadavatele stavby i koordinátora BOZP.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Nařízení vlády č. 591/2006 Sb., o bližších minimálních požadavcích na bezpečnost a ochranu zdraví při práci na staveništích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obsahuje další specifikace např. o plánu BOZP.</w:t>
      </w:r>
    </w:p>
    <w:p w14:paraId="14CBFB92" w14:textId="77777777" w:rsidR="00120198" w:rsidRPr="002566DD" w:rsidRDefault="00120198" w:rsidP="008E59B9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5.1. Zejména v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ýkon funkce Koordinátora BOZP ve fázi před zahájením stavby:</w:t>
      </w:r>
    </w:p>
    <w:p w14:paraId="707EC72F" w14:textId="77777777" w:rsidR="00120198" w:rsidRPr="002566DD" w:rsidRDefault="00120198" w:rsidP="008E59B9">
      <w:pPr>
        <w:pStyle w:val="Odstavecseseznamem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zpracování plánu BOZP dle § 15, odst. 2 zákona č.309/2006 Sb.</w:t>
      </w:r>
    </w:p>
    <w:p w14:paraId="4AAC4A4A" w14:textId="77777777" w:rsidR="00120198" w:rsidRDefault="00120198" w:rsidP="008E59B9">
      <w:pPr>
        <w:pStyle w:val="Odstavecseseznamem"/>
        <w:spacing w:after="0" w:line="240" w:lineRule="auto"/>
        <w:ind w:left="480" w:firstLine="3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zpracování a odeslání Oznámení příslušnému Inspektorátu práce</w:t>
      </w:r>
    </w:p>
    <w:p w14:paraId="4EAAC83B" w14:textId="77777777" w:rsidR="00120198" w:rsidRPr="002566DD" w:rsidRDefault="00120198" w:rsidP="008E59B9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5.2. Zejména v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ýkon funkce Koordinátora BOZP ve fázi realizace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8D066FD" w14:textId="77777777" w:rsidR="00120198" w:rsidRPr="002566DD" w:rsidRDefault="00120198" w:rsidP="008E59B9">
      <w:pPr>
        <w:pStyle w:val="Odstavecseseznamem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průběžná aktualizace plánu BOZP</w:t>
      </w:r>
    </w:p>
    <w:p w14:paraId="3E0BAC6F" w14:textId="77777777" w:rsidR="00120198" w:rsidRPr="002566DD" w:rsidRDefault="00120198" w:rsidP="008E59B9">
      <w:pPr>
        <w:pStyle w:val="Odstavecseseznamem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svolávání a řízení kontrolních dnů koordinátora BOZP za účasti zhotovitelů stavby a provádění zápisů z kontrolních dnů k dodržování plánu BOZP o zjištěných nedostatcích v bezpečnosti a ochraně zdraví při práci na staveništi a navrhovaných opatření vedoucích k odstranění nedostatků</w:t>
      </w:r>
    </w:p>
    <w:p w14:paraId="60E304D3" w14:textId="77777777" w:rsidR="00120198" w:rsidRPr="002566DD" w:rsidRDefault="00120198" w:rsidP="008E59B9">
      <w:pPr>
        <w:pStyle w:val="Odstavecseseznamem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kontrola, zda zhotovitelé dodržují Plán BOZP a projednání přijetí opatření k zjištěným nedostatkům</w:t>
      </w:r>
    </w:p>
    <w:p w14:paraId="4B43855F" w14:textId="77777777" w:rsid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69728AF" w14:textId="03506A4A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 – Doba plnění</w:t>
      </w:r>
    </w:p>
    <w:p w14:paraId="700083F5" w14:textId="16D9C600" w:rsidR="00100033" w:rsidRDefault="00100033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smlouva se uzavírá do ukončení stavby a jejího předání objednateli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což se předpokládá do (</w:t>
      </w:r>
      <w:r w:rsidR="00C3077D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den/měsíc/rok</w:t>
      </w:r>
      <w:r w:rsid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264D65DC" w14:textId="39CA0A26" w:rsidR="008216BE" w:rsidRPr="00100033" w:rsidRDefault="008216BE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Datum předpokládaného zahájení činnosti příkazníka dle této smlouvy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den/měsíc/rok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5ED34BA8" w14:textId="670F232B" w:rsidR="00100033" w:rsidRDefault="00100033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Smlouvu lze ukončit 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pouze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dohodou stran.</w:t>
      </w:r>
    </w:p>
    <w:p w14:paraId="2E1B66B4" w14:textId="77777777" w:rsidR="00AE5644" w:rsidRPr="00100033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GoBack"/>
      <w:bookmarkEnd w:id="0"/>
    </w:p>
    <w:p w14:paraId="6B0A5D65" w14:textId="1BA243AB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III – Odměna</w:t>
      </w:r>
    </w:p>
    <w:p w14:paraId="5E711EF9" w14:textId="77777777" w:rsidR="00AE5644" w:rsidRDefault="00100033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má za řádné provedení činností dle této smlouvy nárok na odměnu 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(vybrat)</w:t>
      </w:r>
    </w:p>
    <w:p w14:paraId="325462DC" w14:textId="43F6F491" w:rsidR="00AE5644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Cena za 1h činnosti příkazníka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 w:rsid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%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D62ED2C" w14:textId="6A98B679" w:rsidR="00AE5644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% </w:t>
      </w:r>
      <w:bookmarkStart w:id="1" w:name="_Hlk198216359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bookmarkEnd w:id="1"/>
    </w:p>
    <w:p w14:paraId="07ADE514" w14:textId="23186F11" w:rsidR="00100033" w:rsidRDefault="00100033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celkem za celý projekt]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E5644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="00AE5644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="00AE5644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% (</w:t>
      </w:r>
      <w:r w:rsidR="00AE5644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2C269956" w14:textId="653899D4" w:rsidR="00AE5644" w:rsidRPr="00100033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celkem za celý projekt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 Kč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 DPH</w:t>
      </w:r>
    </w:p>
    <w:p w14:paraId="3539EDA2" w14:textId="2ECB1045" w:rsidR="00100033" w:rsidRDefault="00100033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bude splatná na základě daňového dokladu vystaveného měsíčně / po ukončení stavby, a to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dnů od jeho doručení.</w:t>
      </w:r>
    </w:p>
    <w:p w14:paraId="61F03974" w14:textId="31C4B546" w:rsidR="00AE5644" w:rsidRPr="00AE5644" w:rsidRDefault="00AE5644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odměně jsou zahrnuty veškeré náklady příkazníka nutně nebo účelně vynaložené při plnění jeho závazku z této smlouvy včetně nákladů na dopravu.</w:t>
      </w:r>
    </w:p>
    <w:p w14:paraId="07290301" w14:textId="77777777" w:rsidR="00AE5644" w:rsidRPr="00AE5644" w:rsidRDefault="00AE5644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dohodly, že zálohy nebudou poskytovány a příkazník není oprávněn požadovat jejich vyplacení.</w:t>
      </w:r>
    </w:p>
    <w:p w14:paraId="4B64E3A7" w14:textId="77777777" w:rsidR="00AE5644" w:rsidRPr="00AE5644" w:rsidRDefault="00AE5644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za činnost příkazníka dle této smlouvy bude příkazníkovi hrazena během trvání této smlouvy měsíčně, dle skutečných odsouhlasených odpracovaných hodin příkazníkem. </w:t>
      </w:r>
    </w:p>
    <w:p w14:paraId="77AB6FF4" w14:textId="77777777" w:rsidR="00794706" w:rsidRPr="00C65A0F" w:rsidRDefault="00794706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Podkladem pro úhradu úplaty bude vždy faktura, která bude mít náležitosti daňového  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dokladu dle § 28 zákona č. 235/2004 Sb., o dani z přidané hodnoty, ve znění pozdějších předpisů (dále jen „faktura“). Faktura musí kromě zákonem stanovených náležitostí pro daňový doklad obsahovat také: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označení banky a čísla účtu, na který má být zaplaceno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lhůtu splatnosti faktury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vlastnoruční podpis osoby, která fakturu vystavila, včetně kontaktního telefonu.</w:t>
      </w:r>
    </w:p>
    <w:p w14:paraId="64ED5386" w14:textId="2D39B1A9" w:rsidR="006536AD" w:rsidRDefault="00AE5644" w:rsidP="00347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faktury zasílejte pouze elektronicky na e-mail: </w:t>
      </w:r>
      <w:hyperlink r:id="rId6" w:history="1">
        <w:r w:rsidR="006536AD" w:rsidRPr="00301A18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faktury@kutnahora.cz</w:t>
        </w:r>
      </w:hyperlink>
      <w:r w:rsidR="00653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BDEB644" w14:textId="42EB16D3" w:rsidR="00C3077D" w:rsidRPr="00E22AAC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předmětu zprávy uvádějte slovo “faktura” a zasílejte ji nejlépe ve formátu dle národní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</w:t>
      </w: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standardu pro elektronickou fakturaci ISDOC (preferovaný formát) </w:t>
      </w:r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včetně formátu PDF – preferovaný je formát Portable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Document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Format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Long-term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Archiving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tzv. PDF/A.</w:t>
      </w:r>
    </w:p>
    <w:p w14:paraId="30A0D6E8" w14:textId="77777777" w:rsidR="00C3077D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fakturách uvádějte předmět, název a číslo smlouvy/objednávky, nebo do poznámky název odboru/oddělení, který službu, zboží objednal.</w:t>
      </w:r>
    </w:p>
    <w:p w14:paraId="0D7CD6AB" w14:textId="10359A8C" w:rsidR="00C3077D" w:rsidRPr="00C3077D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 výše uvedeného žádáme, aby v jedné zprávě byla, vždy jen jedna faktura s příslušnými přílohami (dodací list/předávací protokol, apod.).</w:t>
      </w:r>
    </w:p>
    <w:p w14:paraId="33FB617E" w14:textId="6FA6AC84" w:rsidR="00671B7A" w:rsidRPr="00A9003D" w:rsidRDefault="00C3077D" w:rsidP="003479CE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Nebude-li faktura obsahovat některou povinnou nebo dohodnutou náležitost nebo bude chybně vyúčtována úplata nebo DPH, je příkazce oprávněn fakturu před uplynutím lhůty splatnosti vrátit příkazníkovi k provedení opravy s vyznačením důvodu vrácení. Ve vrácené faktuře příkazce vyznačí důvod vrácení. Příkazník provede opravu vystavením nové faktury. Vrátí-li příkazce vadnou fakturu příkazníkovi, přestává běžet původní lhůta splatnosti. Celá lhůta splatnosti běží opět ode dne doručení nově vyhotovené faktury příkazci. Povinnost zaplatit úplatu je splněna dnem odepsání příslušné částky z účtu příkazce ve prospěch příkazníka.</w:t>
      </w:r>
    </w:p>
    <w:p w14:paraId="0A5E30A1" w14:textId="70345556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IV – Práva a povinnosti stran</w:t>
      </w:r>
    </w:p>
    <w:p w14:paraId="401C70D5" w14:textId="77777777" w:rsidR="00671B7A" w:rsidRPr="00100033" w:rsidRDefault="00671B7A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je povinen poskytovat součinnost a včasné informace potřebné k řádnému plnění.</w:t>
      </w:r>
    </w:p>
    <w:p w14:paraId="5A7C3C9F" w14:textId="77777777" w:rsidR="00100033" w:rsidRPr="00100033" w:rsidRDefault="00100033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 jednat v zájmu Příkazce a s odbornou péčí.</w:t>
      </w:r>
    </w:p>
    <w:p w14:paraId="70E7BB85" w14:textId="77777777" w:rsidR="00100033" w:rsidRDefault="00100033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odpovědný za škodu způsobenou porušením smlouvy, nikoli však za vady díla zhotovitele.</w:t>
      </w:r>
    </w:p>
    <w:p w14:paraId="47FD2F27" w14:textId="77777777" w:rsidR="00671B7A" w:rsidRPr="00671B7A" w:rsidRDefault="00671B7A" w:rsidP="003479CE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se může odchýlit od pokynů příkazce, jen je-li to naléhavě nezbytné v zájmu </w:t>
      </w:r>
      <w:proofErr w:type="gramStart"/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a pokud</w:t>
      </w:r>
      <w:proofErr w:type="gramEnd"/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nemůže včas obdržet jeho souhlas. V žádném případě se však příkazník nesmí od pokynů odchýlit, jestliže je to zakázáno smlouvou nebo příkazcem.</w:t>
      </w:r>
    </w:p>
    <w:p w14:paraId="1453E6FB" w14:textId="77777777" w:rsidR="00671B7A" w:rsidRPr="00671B7A" w:rsidRDefault="00671B7A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povinen:</w:t>
      </w:r>
    </w:p>
    <w:p w14:paraId="6E7E564E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upozornit příkazce na zřejmou nevhodnost jeho pokynů, které by mohly mít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 následek vznik škody, a to ihned, když se takovou skutečnost dozvěděl. V případě, že příkazce i přes upozornění příkazníka na splnění pokynů trvá, příkazník neodpovídá za škodu takto vzniklou</w:t>
      </w:r>
    </w:p>
    <w:p w14:paraId="5326F2C8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zbytečného odkladu předat příkazci jakékoliv věci získané pro něho při své činnosti</w:t>
      </w:r>
    </w:p>
    <w:p w14:paraId="33C0AE73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postupovat při zařizování záležitostí plynoucích z této smlouvy osobně a s odbornou péčí</w:t>
      </w:r>
    </w:p>
    <w:p w14:paraId="586CF340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pokyny příkazce a jednat v jeho zájmu</w:t>
      </w:r>
    </w:p>
    <w:p w14:paraId="72664961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závazné právní předpisy, technické normy a vyjádření veřejnoprávních orgánů a organizací</w:t>
      </w:r>
    </w:p>
    <w:p w14:paraId="7FC946FB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odkladů oznámit příkazci veškeré skutečnosti, které by mohly vést ke změně pokynů příkazce</w:t>
      </w:r>
    </w:p>
    <w:p w14:paraId="208B1E04" w14:textId="2314B689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poskytovat příkazci veškeré informace, doklady apod., písemnou formou.</w:t>
      </w:r>
    </w:p>
    <w:p w14:paraId="1C1DCBCB" w14:textId="77777777" w:rsidR="008216BE" w:rsidRPr="00671B7A" w:rsidRDefault="008216BE" w:rsidP="003479C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7791CE" w14:textId="4DE593CC" w:rsidR="0049502B" w:rsidRPr="0049502B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 – Mlčenlivost, odpovědnost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pojištění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="004A7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spolupráce s dalšími osobami</w:t>
      </w:r>
    </w:p>
    <w:p w14:paraId="1C213E44" w14:textId="77777777" w:rsidR="0049502B" w:rsidRP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Povinnost mlčenlivosti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se zavazuje zachovávat mlčenlivost o všech skutečnostech, informacích a dokumentech, které se dozví v souvislosti s výkonem této smlouvy, a které nejsou veřejně přístupné. Tato povinnost trvá i po ukončení smluvního vztahu. Příkazník nesmí bez předchozího písemného souhlasu Příkazce sdělit nebo jinak zpřístupnit informace třetím osobám.</w:t>
      </w:r>
    </w:p>
    <w:p w14:paraId="425E738C" w14:textId="77777777" w:rsidR="0049502B" w:rsidRP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Odpovědnost za škodu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odpovídá Příkazci za škodu způsobenou porušením povinností vyplývajících z této smlouvy nebo obecně závazných právních předpisů.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však neodpovídá za vady nebo škody vzniklé při samotné realizaci stavebních prací zhotovitelem, ledaže prokazatelně vznikly v důsledku jeho nedbalosti nebo nesplnění povinnosti na ně upozornit.</w:t>
      </w:r>
    </w:p>
    <w:p w14:paraId="3C838838" w14:textId="3D104341" w:rsid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Pojištění profesní odpovědnosti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Příkazník se zavazuje po dobu trvání této smlouvy udržovat v platnosti pojištění profesní odpovědnosti za škodu ve výši minimálně </w:t>
      </w:r>
      <w:r w:rsidR="00AB13BE"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 </w:t>
      </w:r>
      <w:r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000 000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Kč.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Na požádání je povinen doložit Příkazci kopii pojistné smlouvy a potvrzení o zaplacení pojistného.</w:t>
      </w:r>
    </w:p>
    <w:p w14:paraId="7DB7F60B" w14:textId="231B0FD6" w:rsid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s dalšími osobami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Příkazník je oprávněn zapojit do plnění předmětu této smlouvy i další osoby (např. své zaměstnance, subdodavatele, odborné konzultanty), avšak nese vůči Příkazci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plnou odpovědnost za jejich činnost, výstupy i zachování mlčenlivosti,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by šlo o činnost jeho vlastní.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O zapojení jiné osoby je Příkazník povinen Příkazce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předem informovat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zejména pokud by taková osoba měla jednat jménem Příkazníka při kontrolních dnech, předávání stavby apod.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Všichni zapojení spolupracovníci Příkazníka musí být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odborně způsobilí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výkonu svěřených činností a musí být zavázáni k mlčenlivosti ve stejném rozsahu jako Příkazník.</w:t>
      </w:r>
    </w:p>
    <w:p w14:paraId="7FAF286A" w14:textId="77777777" w:rsidR="008216BE" w:rsidRPr="0049502B" w:rsidRDefault="008216BE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124BB1" w14:textId="683530D2" w:rsidR="008216BE" w:rsidRPr="008216BE" w:rsidRDefault="008216BE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Sankční ujednání</w:t>
      </w:r>
    </w:p>
    <w:p w14:paraId="4AEAF82B" w14:textId="74D4F26A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případ prodlení se zaplacením úplaty je příkazce povinen uhradit zákonný úrok z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prodlení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6B42B5" w:rsidRP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nařízení vlády č. 351/2013 Sb. a pravidel v občanském zákoníku (zákon č. 89/2012 Sb.).</w:t>
      </w:r>
    </w:p>
    <w:p w14:paraId="333F5706" w14:textId="5641B7F6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případě porušení povinností sjednaných touto smlouvou ze strany příkazníka, je příkazce oprávněn požadovat na příkazníkovi zaplacení smluvní pokuty ve </w:t>
      </w:r>
      <w:r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výši </w:t>
      </w:r>
      <w:r w:rsidR="00AB13BE"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10 </w:t>
      </w:r>
      <w:r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000</w:t>
      </w:r>
      <w:r w:rsidR="000F785C"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 každý případ porušení povinnosti. </w:t>
      </w:r>
    </w:p>
    <w:p w14:paraId="1FFA4D02" w14:textId="77777777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14:paraId="606918AC" w14:textId="77777777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závazek některé ze stran vyplývající z této smlouvy zanikne před jeho řádným ukončením, nezaniká nárok na smluvní pokutu, pokud vznikl dřívějším porušením povinnosti.</w:t>
      </w:r>
    </w:p>
    <w:p w14:paraId="3AE45B3F" w14:textId="77777777" w:rsid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Zánik závazku vyplývajícího z této smlouvy jeho pozdním splněním neznamená zánik nároku na smluvní pokutu za prodlení s plněním.</w:t>
      </w:r>
    </w:p>
    <w:p w14:paraId="7F7DB769" w14:textId="77777777" w:rsidR="00A9003D" w:rsidRPr="008216BE" w:rsidRDefault="00A9003D" w:rsidP="003479C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148617" w14:textId="5B9EE5A5" w:rsidR="008216BE" w:rsidRPr="00006A0E" w:rsidRDefault="008216BE" w:rsidP="003479C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 w:rsidRPr="00006A0E"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  <w:t>Plná moc</w:t>
      </w:r>
    </w:p>
    <w:p w14:paraId="6A69188A" w14:textId="77777777" w:rsidR="008216BE" w:rsidRPr="00006A0E" w:rsidRDefault="008216BE" w:rsidP="003479C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</w:pPr>
    </w:p>
    <w:p w14:paraId="5CDF4D75" w14:textId="77777777" w:rsidR="008216BE" w:rsidRPr="00006A0E" w:rsidRDefault="008216BE" w:rsidP="003479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:lang w:eastAsia="cs-CZ"/>
          <w14:ligatures w14:val="none"/>
        </w:rPr>
      </w:pPr>
      <w:r w:rsidRPr="00006A0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Vyžaduje-li obstarání záležitosti, aby příkazník za příkazce právně jednal, vystaví příkazce příkazníkovi včas plnou moc.</w:t>
      </w:r>
    </w:p>
    <w:p w14:paraId="39E088BF" w14:textId="77777777" w:rsidR="0049502B" w:rsidRPr="00100033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11D3A2" w14:textId="24CC65F6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Závěrečná ustanovení</w:t>
      </w:r>
    </w:p>
    <w:p w14:paraId="0021D26F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C92916A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zanikne jednostranným odstoupením od smlouvy pro její podstatné porušení druhou smluvní stranou, přičemž podstatným porušením smlouvy se rozumí zejména:</w:t>
      </w:r>
    </w:p>
    <w:p w14:paraId="0DE165FB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>nedodržení právních předpisů nebo technických norem, které se týkají provádění díla</w:t>
      </w:r>
    </w:p>
    <w:p w14:paraId="1B120136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>opakovaná absence příkazníka na kontrolních dnech</w:t>
      </w:r>
    </w:p>
    <w:p w14:paraId="1CC542D8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 xml:space="preserve">nezajištění součinnosti příkazce dle čl. </w:t>
      </w:r>
      <w:r>
        <w:t>II</w:t>
      </w:r>
      <w:r w:rsidRPr="00006A0E">
        <w:t>I.</w:t>
      </w:r>
      <w:r>
        <w:t xml:space="preserve"> této smlouvy</w:t>
      </w:r>
    </w:p>
    <w:p w14:paraId="56A22438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 xml:space="preserve">Odstoupení od smlouvy se nedotýká práva na zaplacení smluvní pokuty nebo úroku z prodlení, pokud již dospěl, práva na náhradu škody vzniklé z porušení smluvní povinnosti; jakož i nadále trvají práva a povinnosti ze záruk a z porušení závazků a povinností ujednaných v této smlouvě. </w:t>
      </w:r>
    </w:p>
    <w:p w14:paraId="25546AB0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Nastanou-li u některé ze stran skutečnosti bránící řádnému plnění této smlouvy, je povinna to ihned bez zbytečného odkladu oznámit druhé straně a vyvolat jednání osob oprávněných k podpisu smlouvy.</w:t>
      </w:r>
    </w:p>
    <w:p w14:paraId="328D9C75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nabývá platnosti dnem jejího podpisu oběma smluvními stranami.</w:t>
      </w:r>
    </w:p>
    <w:p w14:paraId="7DB80905" w14:textId="77777777" w:rsidR="008216BE" w:rsidRPr="00876019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je vyhotovena ve třech stejnopisech s platností originálu podepsaných oprávněnými zástupci smluvních stran, přičemž příkazce obdrží dvě a příkazník jedno vyhotovení.</w:t>
      </w:r>
    </w:p>
    <w:p w14:paraId="183F00D3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440F69CE" w14:textId="77777777" w:rsidR="008216BE" w:rsidRPr="00006A0E" w:rsidRDefault="008216BE" w:rsidP="003479C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 xml:space="preserve">Tato smlouva byla schválena usnesením rady města Kutná Hora č. </w:t>
      </w:r>
      <w:proofErr w:type="spellStart"/>
      <w:r w:rsidRPr="00006A0E">
        <w:rPr>
          <w:rFonts w:ascii="Times New Roman" w:hAnsi="Times New Roman" w:cs="Times New Roman"/>
          <w:sz w:val="24"/>
          <w:szCs w:val="24"/>
        </w:rPr>
        <w:t>R</w:t>
      </w:r>
      <w:r w:rsidRPr="00120198">
        <w:rPr>
          <w:rFonts w:ascii="Times New Roman" w:hAnsi="Times New Roman" w:cs="Times New Roman"/>
          <w:sz w:val="24"/>
          <w:szCs w:val="24"/>
          <w:highlight w:val="yellow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A0E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spellStart"/>
      <w:r w:rsidRPr="00120198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006A0E">
        <w:rPr>
          <w:rFonts w:ascii="Times New Roman" w:hAnsi="Times New Roman" w:cs="Times New Roman"/>
          <w:sz w:val="24"/>
          <w:szCs w:val="24"/>
        </w:rPr>
        <w:t xml:space="preserve"> 2025.</w:t>
      </w:r>
      <w:r w:rsidRPr="00006A0E">
        <w:rPr>
          <w:rFonts w:ascii="Times New Roman" w:hAnsi="Times New Roman" w:cs="Times New Roman"/>
          <w:sz w:val="24"/>
          <w:szCs w:val="24"/>
        </w:rPr>
        <w:tab/>
      </w:r>
    </w:p>
    <w:p w14:paraId="1E5AE4CC" w14:textId="77777777" w:rsidR="008216BE" w:rsidRPr="00006A0E" w:rsidRDefault="008216BE" w:rsidP="003479C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 xml:space="preserve">Tato smlouva bude zveřejněna v registru smluv dle zákona č. 340/2015 Sb. </w:t>
      </w:r>
    </w:p>
    <w:p w14:paraId="34E00CDA" w14:textId="2D8EF892" w:rsidR="00100033" w:rsidRPr="00100033" w:rsidRDefault="001C401D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Kutné Hoře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dne: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místo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], dne 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datum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</w:p>
    <w:p w14:paraId="50C1294A" w14:textId="60E2D5CD" w:rsidR="008216BE" w:rsidRDefault="008216BE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802DCE6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E4D42B8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031EBCE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261B509" w14:textId="77777777"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..........................................................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..........................................................</w:t>
      </w:r>
    </w:p>
    <w:p w14:paraId="796AC32D" w14:textId="77777777"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za 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   za příkazníka</w:t>
      </w:r>
    </w:p>
    <w:p w14:paraId="64EC1D60" w14:textId="5EC351B1" w:rsidR="00D817C9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Mgr. Lukáš Seifert, starosta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</w:p>
    <w:sectPr w:rsidR="00D817C9" w:rsidRPr="001C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C52"/>
    <w:multiLevelType w:val="multilevel"/>
    <w:tmpl w:val="AA10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6045"/>
    <w:multiLevelType w:val="multilevel"/>
    <w:tmpl w:val="233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43353"/>
    <w:multiLevelType w:val="multilevel"/>
    <w:tmpl w:val="509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110C1"/>
    <w:multiLevelType w:val="multilevel"/>
    <w:tmpl w:val="D2DC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C0145"/>
    <w:multiLevelType w:val="multilevel"/>
    <w:tmpl w:val="EABE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055DE"/>
    <w:multiLevelType w:val="hybridMultilevel"/>
    <w:tmpl w:val="E4CAD77A"/>
    <w:lvl w:ilvl="0" w:tplc="8526ACA0">
      <w:start w:val="1"/>
      <w:numFmt w:val="decimal"/>
      <w:lvlText w:val="%1."/>
      <w:lvlJc w:val="left"/>
      <w:pPr>
        <w:ind w:left="26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66" w:hanging="360"/>
      </w:pPr>
    </w:lvl>
    <w:lvl w:ilvl="2" w:tplc="0405001B" w:tentative="1">
      <w:start w:val="1"/>
      <w:numFmt w:val="lowerRoman"/>
      <w:lvlText w:val="%3."/>
      <w:lvlJc w:val="right"/>
      <w:pPr>
        <w:ind w:left="4086" w:hanging="180"/>
      </w:pPr>
    </w:lvl>
    <w:lvl w:ilvl="3" w:tplc="0405000F" w:tentative="1">
      <w:start w:val="1"/>
      <w:numFmt w:val="decimal"/>
      <w:lvlText w:val="%4."/>
      <w:lvlJc w:val="left"/>
      <w:pPr>
        <w:ind w:left="4806" w:hanging="360"/>
      </w:pPr>
    </w:lvl>
    <w:lvl w:ilvl="4" w:tplc="04050019" w:tentative="1">
      <w:start w:val="1"/>
      <w:numFmt w:val="lowerLetter"/>
      <w:lvlText w:val="%5."/>
      <w:lvlJc w:val="left"/>
      <w:pPr>
        <w:ind w:left="5526" w:hanging="360"/>
      </w:pPr>
    </w:lvl>
    <w:lvl w:ilvl="5" w:tplc="0405001B" w:tentative="1">
      <w:start w:val="1"/>
      <w:numFmt w:val="lowerRoman"/>
      <w:lvlText w:val="%6."/>
      <w:lvlJc w:val="right"/>
      <w:pPr>
        <w:ind w:left="6246" w:hanging="180"/>
      </w:pPr>
    </w:lvl>
    <w:lvl w:ilvl="6" w:tplc="0405000F" w:tentative="1">
      <w:start w:val="1"/>
      <w:numFmt w:val="decimal"/>
      <w:lvlText w:val="%7."/>
      <w:lvlJc w:val="left"/>
      <w:pPr>
        <w:ind w:left="6966" w:hanging="360"/>
      </w:pPr>
    </w:lvl>
    <w:lvl w:ilvl="7" w:tplc="04050019" w:tentative="1">
      <w:start w:val="1"/>
      <w:numFmt w:val="lowerLetter"/>
      <w:lvlText w:val="%8."/>
      <w:lvlJc w:val="left"/>
      <w:pPr>
        <w:ind w:left="7686" w:hanging="360"/>
      </w:pPr>
    </w:lvl>
    <w:lvl w:ilvl="8" w:tplc="0405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7" w15:restartNumberingAfterBreak="0">
    <w:nsid w:val="1BAB264E"/>
    <w:multiLevelType w:val="multilevel"/>
    <w:tmpl w:val="DDCC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DC67D80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E5D82"/>
    <w:multiLevelType w:val="multilevel"/>
    <w:tmpl w:val="0E66E42C"/>
    <w:numStyleLink w:val="Styl2"/>
  </w:abstractNum>
  <w:abstractNum w:abstractNumId="10" w15:restartNumberingAfterBreak="0">
    <w:nsid w:val="1E3A53EC"/>
    <w:multiLevelType w:val="multilevel"/>
    <w:tmpl w:val="827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803CD"/>
    <w:multiLevelType w:val="multilevel"/>
    <w:tmpl w:val="194A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230EC"/>
    <w:multiLevelType w:val="multilevel"/>
    <w:tmpl w:val="0405001F"/>
    <w:styleLink w:val="Styl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945EA0"/>
    <w:multiLevelType w:val="multilevel"/>
    <w:tmpl w:val="22D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0230C"/>
    <w:multiLevelType w:val="multilevel"/>
    <w:tmpl w:val="0E66E42C"/>
    <w:styleLink w:val="Styl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C6BE6"/>
    <w:multiLevelType w:val="multilevel"/>
    <w:tmpl w:val="248800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D099C"/>
    <w:multiLevelType w:val="multilevel"/>
    <w:tmpl w:val="91A4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8" w15:restartNumberingAfterBreak="0">
    <w:nsid w:val="36B573C1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93628"/>
    <w:multiLevelType w:val="hybridMultilevel"/>
    <w:tmpl w:val="BC745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7C14"/>
    <w:multiLevelType w:val="multilevel"/>
    <w:tmpl w:val="9D20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11D3D"/>
    <w:multiLevelType w:val="multilevel"/>
    <w:tmpl w:val="CFCE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F5D29"/>
    <w:multiLevelType w:val="multilevel"/>
    <w:tmpl w:val="60A6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F67E0"/>
    <w:multiLevelType w:val="multilevel"/>
    <w:tmpl w:val="8342E8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7A17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544BE2"/>
    <w:multiLevelType w:val="hybridMultilevel"/>
    <w:tmpl w:val="E31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22E5B"/>
    <w:multiLevelType w:val="multilevel"/>
    <w:tmpl w:val="4F72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9637F"/>
    <w:multiLevelType w:val="multilevel"/>
    <w:tmpl w:val="B990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F45D0"/>
    <w:multiLevelType w:val="hybridMultilevel"/>
    <w:tmpl w:val="19008A08"/>
    <w:lvl w:ilvl="0" w:tplc="C40A560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1A1AD2FA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5B6150A3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7A741C"/>
    <w:multiLevelType w:val="multilevel"/>
    <w:tmpl w:val="3C4CB0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60C36926"/>
    <w:multiLevelType w:val="hybridMultilevel"/>
    <w:tmpl w:val="3542991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61C3459C"/>
    <w:multiLevelType w:val="multilevel"/>
    <w:tmpl w:val="804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0438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8E1515"/>
    <w:multiLevelType w:val="multilevel"/>
    <w:tmpl w:val="0C9E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3655C8"/>
    <w:multiLevelType w:val="multilevel"/>
    <w:tmpl w:val="3468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5F6CA4"/>
    <w:multiLevelType w:val="multilevel"/>
    <w:tmpl w:val="44A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704CB"/>
    <w:multiLevelType w:val="multilevel"/>
    <w:tmpl w:val="0405001F"/>
    <w:numStyleLink w:val="Styl1"/>
  </w:abstractNum>
  <w:abstractNum w:abstractNumId="39" w15:restartNumberingAfterBreak="0">
    <w:nsid w:val="6AF20A76"/>
    <w:multiLevelType w:val="multilevel"/>
    <w:tmpl w:val="240E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3E62FB"/>
    <w:multiLevelType w:val="multilevel"/>
    <w:tmpl w:val="F7B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C7776F"/>
    <w:multiLevelType w:val="hybridMultilevel"/>
    <w:tmpl w:val="18CA6F40"/>
    <w:lvl w:ilvl="0" w:tplc="7F22D0B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472768"/>
    <w:multiLevelType w:val="multilevel"/>
    <w:tmpl w:val="D42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922F9A"/>
    <w:multiLevelType w:val="multilevel"/>
    <w:tmpl w:val="861428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26C76A6"/>
    <w:multiLevelType w:val="multilevel"/>
    <w:tmpl w:val="22D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CF5069"/>
    <w:multiLevelType w:val="multilevel"/>
    <w:tmpl w:val="DDCC6E4E"/>
    <w:styleLink w:val="Styl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42"/>
  </w:num>
  <w:num w:numId="4">
    <w:abstractNumId w:val="11"/>
  </w:num>
  <w:num w:numId="5">
    <w:abstractNumId w:val="16"/>
  </w:num>
  <w:num w:numId="6">
    <w:abstractNumId w:val="18"/>
  </w:num>
  <w:num w:numId="7">
    <w:abstractNumId w:val="20"/>
  </w:num>
  <w:num w:numId="8">
    <w:abstractNumId w:val="21"/>
  </w:num>
  <w:num w:numId="9">
    <w:abstractNumId w:val="5"/>
  </w:num>
  <w:num w:numId="10">
    <w:abstractNumId w:val="36"/>
  </w:num>
  <w:num w:numId="11">
    <w:abstractNumId w:val="4"/>
  </w:num>
  <w:num w:numId="12">
    <w:abstractNumId w:val="27"/>
  </w:num>
  <w:num w:numId="13">
    <w:abstractNumId w:val="1"/>
  </w:num>
  <w:num w:numId="14">
    <w:abstractNumId w:val="39"/>
  </w:num>
  <w:num w:numId="15">
    <w:abstractNumId w:val="33"/>
  </w:num>
  <w:num w:numId="16">
    <w:abstractNumId w:val="35"/>
  </w:num>
  <w:num w:numId="17">
    <w:abstractNumId w:val="10"/>
  </w:num>
  <w:num w:numId="18">
    <w:abstractNumId w:val="26"/>
  </w:num>
  <w:num w:numId="19">
    <w:abstractNumId w:val="40"/>
  </w:num>
  <w:num w:numId="20">
    <w:abstractNumId w:val="44"/>
  </w:num>
  <w:num w:numId="21">
    <w:abstractNumId w:val="2"/>
  </w:num>
  <w:num w:numId="22">
    <w:abstractNumId w:val="37"/>
  </w:num>
  <w:num w:numId="23">
    <w:abstractNumId w:val="17"/>
  </w:num>
  <w:num w:numId="24">
    <w:abstractNumId w:val="31"/>
  </w:num>
  <w:num w:numId="25">
    <w:abstractNumId w:val="28"/>
  </w:num>
  <w:num w:numId="26">
    <w:abstractNumId w:val="41"/>
    <w:lvlOverride w:ilvl="0">
      <w:startOverride w:val="1"/>
    </w:lvlOverride>
  </w:num>
  <w:num w:numId="27">
    <w:abstractNumId w:val="7"/>
  </w:num>
  <w:num w:numId="28">
    <w:abstractNumId w:val="3"/>
  </w:num>
  <w:num w:numId="29">
    <w:abstractNumId w:val="32"/>
  </w:num>
  <w:num w:numId="30">
    <w:abstractNumId w:val="6"/>
  </w:num>
  <w:num w:numId="31">
    <w:abstractNumId w:val="25"/>
  </w:num>
  <w:num w:numId="32">
    <w:abstractNumId w:val="30"/>
  </w:num>
  <w:num w:numId="33">
    <w:abstractNumId w:val="23"/>
  </w:num>
  <w:num w:numId="34">
    <w:abstractNumId w:val="15"/>
  </w:num>
  <w:num w:numId="35">
    <w:abstractNumId w:val="19"/>
  </w:num>
  <w:num w:numId="36">
    <w:abstractNumId w:val="24"/>
  </w:num>
  <w:num w:numId="37">
    <w:abstractNumId w:val="29"/>
  </w:num>
  <w:num w:numId="38">
    <w:abstractNumId w:val="34"/>
  </w:num>
  <w:num w:numId="39">
    <w:abstractNumId w:val="38"/>
  </w:num>
  <w:num w:numId="40">
    <w:abstractNumId w:val="12"/>
  </w:num>
  <w:num w:numId="41">
    <w:abstractNumId w:val="13"/>
  </w:num>
  <w:num w:numId="42">
    <w:abstractNumId w:val="9"/>
  </w:num>
  <w:num w:numId="43">
    <w:abstractNumId w:val="14"/>
  </w:num>
  <w:num w:numId="44">
    <w:abstractNumId w:val="8"/>
  </w:num>
  <w:num w:numId="45">
    <w:abstractNumId w:val="43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33"/>
    <w:rsid w:val="000435FC"/>
    <w:rsid w:val="00080B4B"/>
    <w:rsid w:val="000E4E0D"/>
    <w:rsid w:val="000F785C"/>
    <w:rsid w:val="00100033"/>
    <w:rsid w:val="00120198"/>
    <w:rsid w:val="00160446"/>
    <w:rsid w:val="001822D0"/>
    <w:rsid w:val="001C401D"/>
    <w:rsid w:val="003479CE"/>
    <w:rsid w:val="0036401E"/>
    <w:rsid w:val="003C4E46"/>
    <w:rsid w:val="004540AC"/>
    <w:rsid w:val="0046162E"/>
    <w:rsid w:val="0049502B"/>
    <w:rsid w:val="004A7803"/>
    <w:rsid w:val="004F584D"/>
    <w:rsid w:val="00527D43"/>
    <w:rsid w:val="005629C0"/>
    <w:rsid w:val="005D3F56"/>
    <w:rsid w:val="006536AD"/>
    <w:rsid w:val="00671B7A"/>
    <w:rsid w:val="00680848"/>
    <w:rsid w:val="006B42B5"/>
    <w:rsid w:val="00784B75"/>
    <w:rsid w:val="00794706"/>
    <w:rsid w:val="008216BE"/>
    <w:rsid w:val="00884317"/>
    <w:rsid w:val="008B1E82"/>
    <w:rsid w:val="008E59B9"/>
    <w:rsid w:val="008F475E"/>
    <w:rsid w:val="0099652F"/>
    <w:rsid w:val="009B44BC"/>
    <w:rsid w:val="00A4706C"/>
    <w:rsid w:val="00A9003D"/>
    <w:rsid w:val="00AB13BE"/>
    <w:rsid w:val="00AE1653"/>
    <w:rsid w:val="00AE5644"/>
    <w:rsid w:val="00AF7AB1"/>
    <w:rsid w:val="00C3077D"/>
    <w:rsid w:val="00C70E2E"/>
    <w:rsid w:val="00C74942"/>
    <w:rsid w:val="00C86DF5"/>
    <w:rsid w:val="00C901EE"/>
    <w:rsid w:val="00CF3634"/>
    <w:rsid w:val="00D817C9"/>
    <w:rsid w:val="00DB3B8D"/>
    <w:rsid w:val="00DB7F1E"/>
    <w:rsid w:val="00E219F6"/>
    <w:rsid w:val="00E22AAC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DA55"/>
  <w15:docId w15:val="{7D82D54A-2E88-42EC-99DF-6D38C7B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6BE"/>
  </w:style>
  <w:style w:type="paragraph" w:styleId="Nadpis1">
    <w:name w:val="heading 1"/>
    <w:basedOn w:val="Normln"/>
    <w:next w:val="Normln"/>
    <w:link w:val="Nadpis1Char"/>
    <w:uiPriority w:val="9"/>
    <w:qFormat/>
    <w:rsid w:val="0010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0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0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33"/>
    <w:rPr>
      <w:b/>
      <w:bCs/>
      <w:smallCaps/>
      <w:color w:val="2F5496" w:themeColor="accent1" w:themeShade="BF"/>
      <w:spacing w:val="5"/>
    </w:rPr>
  </w:style>
  <w:style w:type="paragraph" w:customStyle="1" w:styleId="slovanPododstavecSmlouvy">
    <w:name w:val="ČíslovanýPododstavecSmlouvy"/>
    <w:basedOn w:val="Zkladntext"/>
    <w:uiPriority w:val="99"/>
    <w:rsid w:val="00AE5644"/>
    <w:pPr>
      <w:numPr>
        <w:numId w:val="25"/>
      </w:numPr>
      <w:tabs>
        <w:tab w:val="clear" w:pos="717"/>
        <w:tab w:val="left" w:pos="284"/>
        <w:tab w:val="num" w:pos="720"/>
        <w:tab w:val="left" w:pos="1260"/>
        <w:tab w:val="left" w:pos="1980"/>
        <w:tab w:val="left" w:pos="396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AE56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5644"/>
  </w:style>
  <w:style w:type="character" w:styleId="Hypertextovodkaz">
    <w:name w:val="Hyperlink"/>
    <w:basedOn w:val="Standardnpsmoodstavce"/>
    <w:uiPriority w:val="99"/>
    <w:unhideWhenUsed/>
    <w:rsid w:val="006536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36AD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uiPriority w:val="99"/>
    <w:rsid w:val="008216BE"/>
    <w:pPr>
      <w:spacing w:before="120" w:after="0" w:line="240" w:lineRule="atLeast"/>
      <w:jc w:val="both"/>
    </w:pPr>
    <w:rPr>
      <w:rFonts w:ascii="Tahoma" w:eastAsia="Times New Roman" w:hAnsi="Tahoma" w:cs="Tahoma"/>
      <w:kern w:val="0"/>
      <w:sz w:val="24"/>
      <w:szCs w:val="24"/>
      <w:lang w:eastAsia="cs-CZ"/>
      <w14:ligatures w14:val="none"/>
    </w:rPr>
  </w:style>
  <w:style w:type="numbering" w:customStyle="1" w:styleId="Styl1">
    <w:name w:val="Styl1"/>
    <w:uiPriority w:val="99"/>
    <w:rsid w:val="004540AC"/>
    <w:pPr>
      <w:numPr>
        <w:numId w:val="40"/>
      </w:numPr>
    </w:pPr>
  </w:style>
  <w:style w:type="numbering" w:customStyle="1" w:styleId="Styl2">
    <w:name w:val="Styl2"/>
    <w:uiPriority w:val="99"/>
    <w:rsid w:val="00DB7F1E"/>
    <w:pPr>
      <w:numPr>
        <w:numId w:val="43"/>
      </w:numPr>
    </w:pPr>
  </w:style>
  <w:style w:type="numbering" w:customStyle="1" w:styleId="Styl3">
    <w:name w:val="Styl3"/>
    <w:uiPriority w:val="99"/>
    <w:rsid w:val="00DB7F1E"/>
    <w:pPr>
      <w:numPr>
        <w:numId w:val="4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8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B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B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5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5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4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@kutnahor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90ED-3A49-4E03-AFE5-1FBFB466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3180</Words>
  <Characters>18762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Králik Jozef</dc:creator>
  <cp:lastModifiedBy>Daňková Pavlína</cp:lastModifiedBy>
  <cp:revision>7</cp:revision>
  <dcterms:created xsi:type="dcterms:W3CDTF">2025-08-19T10:11:00Z</dcterms:created>
  <dcterms:modified xsi:type="dcterms:W3CDTF">2025-08-21T14:46:00Z</dcterms:modified>
</cp:coreProperties>
</file>